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84" w:rsidRDefault="00813AB3" w:rsidP="00813A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3AB3">
        <w:rPr>
          <w:rFonts w:ascii="Times New Roman" w:hAnsi="Times New Roman" w:cs="Times New Roman"/>
          <w:sz w:val="24"/>
          <w:szCs w:val="24"/>
        </w:rPr>
        <w:t>MATERIAL SUPLEMENTAR: Figuras</w:t>
      </w:r>
    </w:p>
    <w:p w:rsidR="00813AB3" w:rsidRDefault="00813AB3" w:rsidP="00813A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C46">
        <w:rPr>
          <w:rFonts w:ascii="Times New Roman" w:hAnsi="Times New Roman" w:cs="Times New Roman"/>
          <w:noProof/>
          <w:sz w:val="18"/>
          <w:szCs w:val="18"/>
          <w:lang w:eastAsia="pt-BR"/>
        </w:rPr>
        <w:drawing>
          <wp:inline distT="0" distB="0" distL="0" distR="0" wp14:anchorId="1069A0B9" wp14:editId="3F47881D">
            <wp:extent cx="4320000" cy="2880000"/>
            <wp:effectExtent l="0" t="0" r="4445" b="0"/>
            <wp:docPr id="327" name="Gráfico 3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13AB3" w:rsidRDefault="00813AB3" w:rsidP="00813A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C04AC">
        <w:rPr>
          <w:rFonts w:ascii="Times New Roman" w:hAnsi="Times New Roman" w:cs="Times New Roman"/>
          <w:sz w:val="24"/>
          <w:szCs w:val="24"/>
          <w:lang w:eastAsia="pt-BR"/>
        </w:rPr>
        <w:t>Figura 1 - Espécies de maior valor de importância encontradas em dois períodos,</w:t>
      </w:r>
      <w:r w:rsidRPr="002C04AC">
        <w:rPr>
          <w:rFonts w:ascii="Times New Roman" w:eastAsia="@Arial Unicode MS" w:hAnsi="Times New Roman" w:cs="Times New Roman"/>
          <w:sz w:val="24"/>
          <w:szCs w:val="24"/>
        </w:rPr>
        <w:t xml:space="preserve"> antes e depois da colheita florestal, </w:t>
      </w:r>
      <w:r w:rsidRPr="002C04AC">
        <w:rPr>
          <w:rFonts w:ascii="Times New Roman" w:hAnsi="Times New Roman" w:cs="Times New Roman"/>
          <w:sz w:val="24"/>
          <w:szCs w:val="24"/>
          <w:lang w:eastAsia="pt-BR"/>
        </w:rPr>
        <w:t>nas parcelas permanentes da UPA 8.</w:t>
      </w:r>
    </w:p>
    <w:p w:rsidR="00813AB3" w:rsidRPr="00C74C46" w:rsidRDefault="00813AB3" w:rsidP="00813AB3">
      <w:pPr>
        <w:spacing w:after="0" w:line="480" w:lineRule="auto"/>
        <w:jc w:val="center"/>
        <w:rPr>
          <w:rFonts w:ascii="Times New Roman" w:eastAsia="@Arial Unicode MS" w:hAnsi="Times New Roman" w:cs="Times New Roman"/>
          <w:b/>
          <w:sz w:val="20"/>
          <w:szCs w:val="20"/>
        </w:rPr>
      </w:pPr>
      <w:r w:rsidRPr="00C74C46">
        <w:rPr>
          <w:rFonts w:ascii="Times New Roman" w:hAnsi="Times New Roman" w:cs="Times New Roman"/>
          <w:noProof/>
          <w:sz w:val="18"/>
          <w:szCs w:val="18"/>
          <w:lang w:eastAsia="pt-BR"/>
        </w:rPr>
        <w:drawing>
          <wp:inline distT="0" distB="0" distL="0" distR="0" wp14:anchorId="3CBF5171" wp14:editId="12A43F8F">
            <wp:extent cx="4320000" cy="28800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13AB3" w:rsidRDefault="00813AB3" w:rsidP="00813AB3">
      <w:pPr>
        <w:spacing w:after="0" w:line="48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5040C3">
        <w:rPr>
          <w:rFonts w:ascii="Times New Roman" w:hAnsi="Times New Roman" w:cs="Times New Roman"/>
          <w:sz w:val="24"/>
          <w:szCs w:val="18"/>
        </w:rPr>
        <w:t>Figura 2 - Distribuição do número de árvores por classe de diâmetro em dois períodos.</w:t>
      </w:r>
    </w:p>
    <w:p w:rsidR="00813AB3" w:rsidRPr="00C74C46" w:rsidRDefault="00813AB3" w:rsidP="00813AB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C46">
        <w:rPr>
          <w:rFonts w:ascii="Times New Roman" w:hAnsi="Times New Roman" w:cs="Times New Roman"/>
          <w:noProof/>
          <w:sz w:val="18"/>
          <w:szCs w:val="18"/>
          <w:lang w:eastAsia="pt-BR"/>
        </w:rPr>
        <w:lastRenderedPageBreak/>
        <w:drawing>
          <wp:inline distT="0" distB="0" distL="0" distR="0" wp14:anchorId="41DCD336" wp14:editId="4F9F9083">
            <wp:extent cx="4320000" cy="28800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3AB3" w:rsidRPr="00285CE8" w:rsidRDefault="00813AB3" w:rsidP="00813AB3">
      <w:pPr>
        <w:spacing w:after="0" w:line="48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285CE8">
        <w:rPr>
          <w:rFonts w:ascii="Times New Roman" w:hAnsi="Times New Roman" w:cs="Times New Roman"/>
          <w:sz w:val="24"/>
          <w:szCs w:val="18"/>
        </w:rPr>
        <w:t>Figura 3 - Taxa de crescimento médio das árvores conforme a intensidade de luz recebida.</w:t>
      </w:r>
    </w:p>
    <w:p w:rsidR="00813AB3" w:rsidRPr="00885AD6" w:rsidRDefault="00813AB3" w:rsidP="00813AB3">
      <w:pPr>
        <w:pStyle w:val="SemEspaamento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C46">
        <w:rPr>
          <w:rFonts w:ascii="Times New Roman" w:hAnsi="Times New Roman" w:cs="Times New Roman"/>
          <w:noProof/>
          <w:sz w:val="18"/>
          <w:szCs w:val="18"/>
          <w:lang w:eastAsia="pt-BR"/>
        </w:rPr>
        <w:drawing>
          <wp:inline distT="0" distB="0" distL="0" distR="0" wp14:anchorId="5A3C6864" wp14:editId="5A7DAC1A">
            <wp:extent cx="4320000" cy="28800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3AB3" w:rsidRPr="00885AD6" w:rsidRDefault="00813AB3" w:rsidP="00813AB3">
      <w:pPr>
        <w:spacing w:after="0" w:line="48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885AD6">
        <w:rPr>
          <w:rFonts w:ascii="Times New Roman" w:hAnsi="Times New Roman" w:cs="Times New Roman"/>
          <w:sz w:val="24"/>
          <w:szCs w:val="18"/>
        </w:rPr>
        <w:t>Figura 4</w:t>
      </w:r>
      <w:r>
        <w:rPr>
          <w:rFonts w:ascii="Times New Roman" w:hAnsi="Times New Roman" w:cs="Times New Roman"/>
          <w:sz w:val="24"/>
          <w:szCs w:val="18"/>
        </w:rPr>
        <w:t xml:space="preserve"> - </w:t>
      </w:r>
      <w:r w:rsidRPr="00885AD6">
        <w:rPr>
          <w:rFonts w:ascii="Times New Roman" w:hAnsi="Times New Roman" w:cs="Times New Roman"/>
          <w:sz w:val="24"/>
          <w:szCs w:val="18"/>
        </w:rPr>
        <w:t>Incremento em diâmetro das árvores de acordo com o grau de infestação de cipó. Sendo: I, sem cipós; II, cipós presentes sem causar danos; III, cipós presentes restringindo crescimento.</w:t>
      </w:r>
    </w:p>
    <w:p w:rsidR="00813AB3" w:rsidRPr="00C74C46" w:rsidRDefault="00813AB3" w:rsidP="00813AB3">
      <w:pPr>
        <w:pStyle w:val="SemEspaamento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C46">
        <w:rPr>
          <w:rFonts w:ascii="Times New Roman" w:hAnsi="Times New Roman" w:cs="Times New Roman"/>
          <w:noProof/>
          <w:sz w:val="18"/>
          <w:szCs w:val="18"/>
          <w:lang w:eastAsia="pt-BR"/>
        </w:rPr>
        <w:lastRenderedPageBreak/>
        <w:drawing>
          <wp:inline distT="0" distB="0" distL="0" distR="0" wp14:anchorId="05163029" wp14:editId="3F423770">
            <wp:extent cx="4320000" cy="2880000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3AB3" w:rsidRPr="00885AD6" w:rsidRDefault="00813AB3" w:rsidP="00813AB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AD6">
        <w:rPr>
          <w:rFonts w:ascii="Times New Roman" w:hAnsi="Times New Roman" w:cs="Times New Roman"/>
          <w:sz w:val="24"/>
          <w:szCs w:val="24"/>
        </w:rPr>
        <w:t>Figura 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85AD6">
        <w:rPr>
          <w:rFonts w:ascii="Times New Roman" w:hAnsi="Times New Roman" w:cs="Times New Roman"/>
          <w:sz w:val="24"/>
          <w:szCs w:val="24"/>
        </w:rPr>
        <w:t xml:space="preserve"> Incremento em diâmetro das árvores por classe de dano. Sendo: I, ausente de danos; II, danos leves ocasionados por causas naturais; III, danos leves ocasionados pela exploração de madeira.</w:t>
      </w:r>
    </w:p>
    <w:p w:rsidR="00813AB3" w:rsidRPr="00885AD6" w:rsidRDefault="00813AB3" w:rsidP="00813AB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AD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BF10FA2" wp14:editId="39F17C04">
            <wp:extent cx="4320000" cy="28800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3AB3" w:rsidRDefault="00813AB3" w:rsidP="00813AB3">
      <w:pPr>
        <w:spacing w:after="0" w:line="48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885AD6">
        <w:rPr>
          <w:rFonts w:ascii="Times New Roman" w:hAnsi="Times New Roman" w:cs="Times New Roman"/>
          <w:sz w:val="24"/>
          <w:szCs w:val="24"/>
        </w:rPr>
        <w:t>Figura 6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85AD6">
        <w:rPr>
          <w:rFonts w:ascii="Times New Roman" w:hAnsi="Times New Roman" w:cs="Times New Roman"/>
          <w:sz w:val="24"/>
          <w:szCs w:val="24"/>
        </w:rPr>
        <w:t xml:space="preserve"> Porcentagem de árvores mortas e ingressantes na UPA</w:t>
      </w:r>
      <w:r w:rsidRPr="00885AD6">
        <w:rPr>
          <w:rFonts w:ascii="Times New Roman" w:eastAsia="@Arial Unicode MS" w:hAnsi="Times New Roman" w:cs="Times New Roman"/>
          <w:sz w:val="24"/>
          <w:szCs w:val="24"/>
        </w:rPr>
        <w:t xml:space="preserve"> 08.</w:t>
      </w:r>
    </w:p>
    <w:p w:rsidR="00813AB3" w:rsidRPr="00C74C46" w:rsidRDefault="00813AB3" w:rsidP="00813AB3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AD6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27F765FC" wp14:editId="59104EFC">
            <wp:extent cx="4319905" cy="2628900"/>
            <wp:effectExtent l="0" t="0" r="4445" b="0"/>
            <wp:docPr id="328" name="Gráfico 3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3AB3" w:rsidRDefault="00813AB3" w:rsidP="00813A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AD6">
        <w:rPr>
          <w:rFonts w:ascii="Times New Roman" w:hAnsi="Times New Roman" w:cs="Times New Roman"/>
          <w:sz w:val="24"/>
          <w:szCs w:val="24"/>
        </w:rPr>
        <w:t>Figura 7 - Mortalidade das árvores de acordo com as classes de DAP logo após a colheita de árvores.</w:t>
      </w:r>
    </w:p>
    <w:bookmarkEnd w:id="0"/>
    <w:p w:rsidR="00813AB3" w:rsidRPr="00813AB3" w:rsidRDefault="00813AB3" w:rsidP="00813A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3AB3" w:rsidRPr="00813AB3" w:rsidSect="00E620E4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3"/>
    <w:rsid w:val="00813AB3"/>
    <w:rsid w:val="00E620E4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5C5B3-3D3E-435F-B6AA-0BFAB666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3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WTON\Desktop\Nilto\Ivi_GR&#193;FIC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uario\Desktop\Artifgo_Lia\n,g,v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FOPA\9%20SEMESTRE\Artifgo_Lia\Crescimento%20(Luz,%20dano,%20cip&#243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FOPA\9%20SEMESTRE\Artifgo_Lia\Mortalidade,%20Ingresso%20e%20Sobreviv&#234;nci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WTON\Desktop\Nilto_Mortalidade%20e%20Ingresso\Mortalidade,%20Ingresso%20e%20Sobreviv&#234;nci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59120734908138"/>
          <c:y val="2.9048211078878297E-2"/>
          <c:w val="0.84620341207349081"/>
          <c:h val="0.59102120458626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Gráfico!$C$1</c:f>
              <c:strCache>
                <c:ptCount val="1"/>
                <c:pt idx="0">
                  <c:v>IVI Antes</c:v>
                </c:pt>
              </c:strCache>
            </c:strRef>
          </c:tx>
          <c:invertIfNegative val="0"/>
          <c:cat>
            <c:strRef>
              <c:f>Gráfico!$B$2:$B$11</c:f>
              <c:strCache>
                <c:ptCount val="10"/>
                <c:pt idx="0">
                  <c:v>Sclerolobium sp</c:v>
                </c:pt>
                <c:pt idx="1">
                  <c:v>Eschweilera sp</c:v>
                </c:pt>
                <c:pt idx="2">
                  <c:v>Guatteria poeppigiana</c:v>
                </c:pt>
                <c:pt idx="3">
                  <c:v>Maquira sp</c:v>
                </c:pt>
                <c:pt idx="4">
                  <c:v>Virola sp</c:v>
                </c:pt>
                <c:pt idx="5">
                  <c:v>Alexa grandiflora</c:v>
                </c:pt>
                <c:pt idx="6">
                  <c:v>Couratari guianensis</c:v>
                </c:pt>
                <c:pt idx="7">
                  <c:v>Protium sp</c:v>
                </c:pt>
                <c:pt idx="8">
                  <c:v>Protium paniculatum</c:v>
                </c:pt>
                <c:pt idx="9">
                  <c:v>Chimarrhis turbinata</c:v>
                </c:pt>
              </c:strCache>
            </c:strRef>
          </c:cat>
          <c:val>
            <c:numRef>
              <c:f>Gráfico!$C$2:$C$11</c:f>
              <c:numCache>
                <c:formatCode>General</c:formatCode>
                <c:ptCount val="10"/>
                <c:pt idx="0">
                  <c:v>13.8</c:v>
                </c:pt>
                <c:pt idx="1">
                  <c:v>12.3</c:v>
                </c:pt>
                <c:pt idx="2">
                  <c:v>11</c:v>
                </c:pt>
                <c:pt idx="3">
                  <c:v>10.6</c:v>
                </c:pt>
                <c:pt idx="4">
                  <c:v>9.8000000000000007</c:v>
                </c:pt>
                <c:pt idx="5">
                  <c:v>9.8000000000000007</c:v>
                </c:pt>
                <c:pt idx="6">
                  <c:v>8.6</c:v>
                </c:pt>
                <c:pt idx="7">
                  <c:v>8.5</c:v>
                </c:pt>
                <c:pt idx="8">
                  <c:v>8.3000000000000007</c:v>
                </c:pt>
                <c:pt idx="9">
                  <c:v>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AB-4AC7-9FCF-51EADBACB487}"/>
            </c:ext>
          </c:extLst>
        </c:ser>
        <c:ser>
          <c:idx val="1"/>
          <c:order val="1"/>
          <c:tx>
            <c:strRef>
              <c:f>Gráfico!$D$1</c:f>
              <c:strCache>
                <c:ptCount val="1"/>
                <c:pt idx="0">
                  <c:v>IVI Depois</c:v>
                </c:pt>
              </c:strCache>
            </c:strRef>
          </c:tx>
          <c:invertIfNegative val="0"/>
          <c:cat>
            <c:strRef>
              <c:f>Gráfico!$B$2:$B$11</c:f>
              <c:strCache>
                <c:ptCount val="10"/>
                <c:pt idx="0">
                  <c:v>Sclerolobium sp</c:v>
                </c:pt>
                <c:pt idx="1">
                  <c:v>Eschweilera sp</c:v>
                </c:pt>
                <c:pt idx="2">
                  <c:v>Guatteria poeppigiana</c:v>
                </c:pt>
                <c:pt idx="3">
                  <c:v>Maquira sp</c:v>
                </c:pt>
                <c:pt idx="4">
                  <c:v>Virola sp</c:v>
                </c:pt>
                <c:pt idx="5">
                  <c:v>Alexa grandiflora</c:v>
                </c:pt>
                <c:pt idx="6">
                  <c:v>Couratari guianensis</c:v>
                </c:pt>
                <c:pt idx="7">
                  <c:v>Protium sp</c:v>
                </c:pt>
                <c:pt idx="8">
                  <c:v>Protium paniculatum</c:v>
                </c:pt>
                <c:pt idx="9">
                  <c:v>Chimarrhis turbinata</c:v>
                </c:pt>
              </c:strCache>
            </c:strRef>
          </c:cat>
          <c:val>
            <c:numRef>
              <c:f>Gráfico!$D$2:$D$11</c:f>
              <c:numCache>
                <c:formatCode>General</c:formatCode>
                <c:ptCount val="10"/>
                <c:pt idx="0">
                  <c:v>16</c:v>
                </c:pt>
                <c:pt idx="1">
                  <c:v>13.6</c:v>
                </c:pt>
                <c:pt idx="2">
                  <c:v>11.5</c:v>
                </c:pt>
                <c:pt idx="3">
                  <c:v>11.2</c:v>
                </c:pt>
                <c:pt idx="4">
                  <c:v>12.3</c:v>
                </c:pt>
                <c:pt idx="5">
                  <c:v>9.7000000000000011</c:v>
                </c:pt>
                <c:pt idx="6">
                  <c:v>6.7</c:v>
                </c:pt>
                <c:pt idx="7">
                  <c:v>9.2000000000000011</c:v>
                </c:pt>
                <c:pt idx="8">
                  <c:v>7.6</c:v>
                </c:pt>
                <c:pt idx="9">
                  <c:v>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AB-4AC7-9FCF-51EADBACB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322896"/>
        <c:axId val="347320152"/>
      </c:barChart>
      <c:catAx>
        <c:axId val="347322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Espécies</a:t>
                </a:r>
              </a:p>
            </c:rich>
          </c:tx>
          <c:layout>
            <c:manualLayout>
              <c:xMode val="edge"/>
              <c:yMode val="edge"/>
              <c:x val="0.44711581364829395"/>
              <c:y val="0.9296346180411660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47320152"/>
        <c:crosses val="autoZero"/>
        <c:auto val="1"/>
        <c:lblAlgn val="ctr"/>
        <c:lblOffset val="100"/>
        <c:noMultiLvlLbl val="0"/>
      </c:catAx>
      <c:valAx>
        <c:axId val="3473201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Índice de Valor de Importância (IVI)</a:t>
                </a:r>
              </a:p>
            </c:rich>
          </c:tx>
          <c:layout>
            <c:manualLayout>
              <c:xMode val="edge"/>
              <c:yMode val="edge"/>
              <c:x val="9.4878926822764293E-3"/>
              <c:y val="5.0875489878833636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47322896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0206833252120135"/>
          <c:y val="4.0590681401869973E-3"/>
          <c:w val="0.17869281847633223"/>
          <c:h val="0.240239521740977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94644250549763"/>
          <c:y val="6.439055118110236E-2"/>
          <c:w val="0.77342377810881746"/>
          <c:h val="0.66833187196694133"/>
        </c:manualLayout>
      </c:layout>
      <c:lineChart>
        <c:grouping val="standard"/>
        <c:varyColors val="0"/>
        <c:ser>
          <c:idx val="0"/>
          <c:order val="0"/>
          <c:tx>
            <c:strRef>
              <c:f>Plan1!$S$2</c:f>
              <c:strCache>
                <c:ptCount val="1"/>
                <c:pt idx="0">
                  <c:v>Antes da Exploração</c:v>
                </c:pt>
              </c:strCache>
            </c:strRef>
          </c:tx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Plan1!$T$1:$AD$1</c:f>
              <c:strCache>
                <c:ptCount val="11"/>
                <c:pt idx="0">
                  <c:v>10-19,9</c:v>
                </c:pt>
                <c:pt idx="1">
                  <c:v>20-29,9</c:v>
                </c:pt>
                <c:pt idx="2">
                  <c:v>30-39,9</c:v>
                </c:pt>
                <c:pt idx="3">
                  <c:v>40-49,9</c:v>
                </c:pt>
                <c:pt idx="4">
                  <c:v>50-59,9</c:v>
                </c:pt>
                <c:pt idx="5">
                  <c:v>60-69,9</c:v>
                </c:pt>
                <c:pt idx="6">
                  <c:v>70-79,9</c:v>
                </c:pt>
                <c:pt idx="7">
                  <c:v>80-89,9</c:v>
                </c:pt>
                <c:pt idx="8">
                  <c:v>90-99,9</c:v>
                </c:pt>
                <c:pt idx="9">
                  <c:v>100-109,9</c:v>
                </c:pt>
                <c:pt idx="10">
                  <c:v>&gt;110</c:v>
                </c:pt>
              </c:strCache>
            </c:strRef>
          </c:cat>
          <c:val>
            <c:numRef>
              <c:f>Plan1!$T$2:$AD$2</c:f>
              <c:numCache>
                <c:formatCode>General</c:formatCode>
                <c:ptCount val="11"/>
                <c:pt idx="0">
                  <c:v>250.4</c:v>
                </c:pt>
                <c:pt idx="1">
                  <c:v>74.8</c:v>
                </c:pt>
                <c:pt idx="2">
                  <c:v>29.2</c:v>
                </c:pt>
                <c:pt idx="3">
                  <c:v>14</c:v>
                </c:pt>
                <c:pt idx="4">
                  <c:v>8.8000000000000007</c:v>
                </c:pt>
                <c:pt idx="5">
                  <c:v>5.6</c:v>
                </c:pt>
                <c:pt idx="6">
                  <c:v>2.4</c:v>
                </c:pt>
                <c:pt idx="7">
                  <c:v>2</c:v>
                </c:pt>
                <c:pt idx="8">
                  <c:v>1.2</c:v>
                </c:pt>
                <c:pt idx="9">
                  <c:v>0.8</c:v>
                </c:pt>
                <c:pt idx="10">
                  <c:v>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229-4A4A-80B2-AF8E32674ACD}"/>
            </c:ext>
          </c:extLst>
        </c:ser>
        <c:ser>
          <c:idx val="1"/>
          <c:order val="1"/>
          <c:tx>
            <c:strRef>
              <c:f>Plan1!$S$3</c:f>
              <c:strCache>
                <c:ptCount val="1"/>
                <c:pt idx="0">
                  <c:v>Depois da Exploração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Plan1!$T$1:$AD$1</c:f>
              <c:strCache>
                <c:ptCount val="11"/>
                <c:pt idx="0">
                  <c:v>10-19,9</c:v>
                </c:pt>
                <c:pt idx="1">
                  <c:v>20-29,9</c:v>
                </c:pt>
                <c:pt idx="2">
                  <c:v>30-39,9</c:v>
                </c:pt>
                <c:pt idx="3">
                  <c:v>40-49,9</c:v>
                </c:pt>
                <c:pt idx="4">
                  <c:v>50-59,9</c:v>
                </c:pt>
                <c:pt idx="5">
                  <c:v>60-69,9</c:v>
                </c:pt>
                <c:pt idx="6">
                  <c:v>70-79,9</c:v>
                </c:pt>
                <c:pt idx="7">
                  <c:v>80-89,9</c:v>
                </c:pt>
                <c:pt idx="8">
                  <c:v>90-99,9</c:v>
                </c:pt>
                <c:pt idx="9">
                  <c:v>100-109,9</c:v>
                </c:pt>
                <c:pt idx="10">
                  <c:v>&gt;110</c:v>
                </c:pt>
              </c:strCache>
            </c:strRef>
          </c:cat>
          <c:val>
            <c:numRef>
              <c:f>Plan1!$T$3:$AD$3</c:f>
              <c:numCache>
                <c:formatCode>General</c:formatCode>
                <c:ptCount val="11"/>
                <c:pt idx="0">
                  <c:v>207.6</c:v>
                </c:pt>
                <c:pt idx="1">
                  <c:v>74</c:v>
                </c:pt>
                <c:pt idx="2">
                  <c:v>24.8</c:v>
                </c:pt>
                <c:pt idx="3">
                  <c:v>17.2</c:v>
                </c:pt>
                <c:pt idx="4">
                  <c:v>7.2</c:v>
                </c:pt>
                <c:pt idx="5">
                  <c:v>6</c:v>
                </c:pt>
                <c:pt idx="6">
                  <c:v>2.4</c:v>
                </c:pt>
                <c:pt idx="7">
                  <c:v>1.2</c:v>
                </c:pt>
                <c:pt idx="8">
                  <c:v>0.8</c:v>
                </c:pt>
                <c:pt idx="9">
                  <c:v>0.8</c:v>
                </c:pt>
                <c:pt idx="10">
                  <c:v>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229-4A4A-80B2-AF8E32674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7323288"/>
        <c:axId val="347322112"/>
      </c:lineChart>
      <c:catAx>
        <c:axId val="34732328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Classe Diamétrica</a:t>
                </a:r>
              </a:p>
            </c:rich>
          </c:tx>
          <c:layout>
            <c:manualLayout>
              <c:xMode val="edge"/>
              <c:yMode val="edge"/>
              <c:x val="0.33870442090504155"/>
              <c:y val="0.9261122496674216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347322112"/>
        <c:crosses val="autoZero"/>
        <c:auto val="1"/>
        <c:lblAlgn val="ctr"/>
        <c:lblOffset val="100"/>
        <c:noMultiLvlLbl val="0"/>
      </c:catAx>
      <c:valAx>
        <c:axId val="3473221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Número de Indivíduos (N.ha)</a:t>
                </a:r>
              </a:p>
            </c:rich>
          </c:tx>
          <c:layout>
            <c:manualLayout>
              <c:xMode val="edge"/>
              <c:yMode val="edge"/>
              <c:x val="2.6836882076131017E-3"/>
              <c:y val="0.136931129222882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347323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8204861200167567"/>
          <c:y val="0.36884047028368028"/>
          <c:w val="0.53651542742824898"/>
          <c:h val="8.896833841715731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046227868436922"/>
          <c:y val="8.0362318840579705E-2"/>
          <c:w val="0.75191861858073272"/>
          <c:h val="0.6525487846627867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E2CCA07-CCA4-4D3B-9E42-5EF1C21FFE8C}" type="VALUE">
                      <a:rPr lang="en-US"/>
                      <a:pPr/>
                      <a:t>[VALOR]</a:t>
                    </a:fld>
                    <a:r>
                      <a:rPr lang="en-US" baseline="30000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A10-41D1-822A-1D8967F8DDE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B5213D8-51A0-42C5-BA1C-DEC7707C4679}" type="VALUE">
                      <a:rPr lang="en-US"/>
                      <a:pPr/>
                      <a:t>[VALOR]</a:t>
                    </a:fld>
                    <a:r>
                      <a:rPr lang="en-US" baseline="30000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A10-41D1-822A-1D8967F8DDE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B98CC9B-09CB-4093-B4E6-9EA48D021989}" type="VALUE">
                      <a:rPr lang="en-US"/>
                      <a:pPr/>
                      <a:t>[VALOR]</a:t>
                    </a:fld>
                    <a:r>
                      <a:rPr lang="en-US" baseline="30000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A10-41D1-822A-1D8967F8DDE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Plan1!$A$2:$A$4</c:f>
              <c:strCache>
                <c:ptCount val="3"/>
                <c:pt idx="0">
                  <c:v>Total</c:v>
                </c:pt>
                <c:pt idx="1">
                  <c:v>Parcial</c:v>
                </c:pt>
                <c:pt idx="2">
                  <c:v>Sombreado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0.54</c:v>
                </c:pt>
                <c:pt idx="1">
                  <c:v>0.3</c:v>
                </c:pt>
                <c:pt idx="2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10-41D1-822A-1D8967F8D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321328"/>
        <c:axId val="344482976"/>
      </c:barChart>
      <c:catAx>
        <c:axId val="347321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Intensiade luminosa</a:t>
                </a:r>
              </a:p>
            </c:rich>
          </c:tx>
          <c:layout>
            <c:manualLayout>
              <c:xMode val="edge"/>
              <c:yMode val="edge"/>
              <c:x val="0.43100998738794016"/>
              <c:y val="0.872137395868994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44482976"/>
        <c:crosses val="autoZero"/>
        <c:auto val="1"/>
        <c:lblAlgn val="ctr"/>
        <c:lblOffset val="100"/>
        <c:noMultiLvlLbl val="0"/>
      </c:catAx>
      <c:valAx>
        <c:axId val="3444829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Incremento em Diâmetro (cm/ano)</a:t>
                </a:r>
              </a:p>
            </c:rich>
          </c:tx>
          <c:layout>
            <c:manualLayout>
              <c:xMode val="edge"/>
              <c:yMode val="edge"/>
              <c:x val="2.1645021645021644E-2"/>
              <c:y val="8.036231884057970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47321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16889839012662"/>
          <c:y val="8.3948988184635684E-2"/>
          <c:w val="0.76652935654834997"/>
          <c:h val="0.7218043389559767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4201E50-0C95-4A1D-8A56-57DD2E1CA4AA}" type="VALUE">
                      <a:rPr lang="en-US"/>
                      <a:pPr/>
                      <a:t>[VALOR]</a:t>
                    </a:fld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B9E-4DD5-96E6-51B4BD1EB42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E999C57-7FE8-4DFB-B8FD-9DC61E872544}" type="VALUE">
                      <a:rPr lang="en-US"/>
                      <a:pPr/>
                      <a:t>[VALOR]</a:t>
                    </a:fld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B9E-4DD5-96E6-51B4BD1EB42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1184E63-44E7-4A29-B20F-227B930CE103}" type="VALUE">
                      <a:rPr lang="en-US"/>
                      <a:pPr/>
                      <a:t>[VALOR]</a:t>
                    </a:fld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B9E-4DD5-96E6-51B4BD1EB42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Plan1!$B$18:$B$20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Plan1!$C$18:$C$20</c:f>
              <c:numCache>
                <c:formatCode>General</c:formatCode>
                <c:ptCount val="3"/>
                <c:pt idx="0">
                  <c:v>0.41</c:v>
                </c:pt>
                <c:pt idx="1">
                  <c:v>0.28000000000000003</c:v>
                </c:pt>
                <c:pt idx="2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9E-4DD5-96E6-51B4BD1EB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477880"/>
        <c:axId val="344482192"/>
      </c:barChart>
      <c:catAx>
        <c:axId val="344477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Cipó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44482192"/>
        <c:crosses val="autoZero"/>
        <c:auto val="1"/>
        <c:lblAlgn val="ctr"/>
        <c:lblOffset val="100"/>
        <c:noMultiLvlLbl val="0"/>
      </c:catAx>
      <c:valAx>
        <c:axId val="3444821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Incremento em Diâmetro (cm/ano)</a:t>
                </a:r>
              </a:p>
            </c:rich>
          </c:tx>
          <c:layout>
            <c:manualLayout>
              <c:xMode val="edge"/>
              <c:yMode val="edge"/>
              <c:x val="1.4520997375328084E-2"/>
              <c:y val="0.102268518518518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44477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70929916282881"/>
          <c:y val="9.4413529069616017E-2"/>
          <c:w val="0.8036961460958052"/>
          <c:h val="0.71713340683572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Dano!$C$19</c:f>
              <c:strCache>
                <c:ptCount val="1"/>
                <c:pt idx="0">
                  <c:v>Diâmetro (cm/ano)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4BC7FC2-0913-4B8D-8B60-0F41D4D05029}" type="VALUE">
                      <a:rPr lang="en-US"/>
                      <a:pPr/>
                      <a:t>[VALOR]</a:t>
                    </a:fld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F4-4676-A67C-CE5CC3A3C38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9ED5100-871C-496B-9227-B5DCBCCDF466}" type="VALUE">
                      <a:rPr lang="en-US"/>
                      <a:pPr/>
                      <a:t>[VALOR]</a:t>
                    </a:fld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8F4-4676-A67C-CE5CC3A3C38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0D940D0-75A5-4B02-9821-8EA237D574C1}" type="VALUE">
                      <a:rPr lang="en-US"/>
                      <a:pPr/>
                      <a:t>[VALOR]</a:t>
                    </a:fld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8F4-4676-A67C-CE5CC3A3C38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Dano!$B$20:$B$22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Dano!$C$20:$C$22</c:f>
              <c:numCache>
                <c:formatCode>General</c:formatCode>
                <c:ptCount val="3"/>
                <c:pt idx="0">
                  <c:v>0.37</c:v>
                </c:pt>
                <c:pt idx="1">
                  <c:v>0.19</c:v>
                </c:pt>
                <c:pt idx="2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8F4-4676-A67C-CE5CC3A3C3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478664"/>
        <c:axId val="344482584"/>
      </c:barChart>
      <c:catAx>
        <c:axId val="3444786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Dano</a:t>
                </a:r>
              </a:p>
            </c:rich>
          </c:tx>
          <c:layout>
            <c:manualLayout>
              <c:xMode val="edge"/>
              <c:yMode val="edge"/>
              <c:x val="0.52900191092165216"/>
              <c:y val="0.895958815511897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44482584"/>
        <c:crosses val="autoZero"/>
        <c:auto val="1"/>
        <c:lblAlgn val="ctr"/>
        <c:lblOffset val="100"/>
        <c:noMultiLvlLbl val="0"/>
      </c:catAx>
      <c:valAx>
        <c:axId val="3444825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Incremento em Diâmetro (cm/ano)</a:t>
                </a:r>
              </a:p>
            </c:rich>
          </c:tx>
          <c:layout>
            <c:manualLayout>
              <c:xMode val="edge"/>
              <c:yMode val="edge"/>
              <c:x val="1.3249890994895996E-2"/>
              <c:y val="7.830698328063323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4447866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Total!$E$8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EB913C0-5F33-4DB6-9A7E-00755255E089}" type="VALUE">
                      <a:rPr lang="en-US"/>
                      <a:pPr/>
                      <a:t>[VALOR]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D97-44A0-AAC5-2D249E93CA5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0828BAC-0F20-4A20-B0EF-90A228B202FF}" type="VALUE">
                      <a:rPr lang="en-US"/>
                      <a:pPr/>
                      <a:t>[VALOR]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97-44A0-AAC5-2D249E93CA5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Total!$D$9:$D$10</c:f>
              <c:strCache>
                <c:ptCount val="2"/>
                <c:pt idx="0">
                  <c:v>Mortalidade</c:v>
                </c:pt>
                <c:pt idx="1">
                  <c:v>Recrutamento</c:v>
                </c:pt>
              </c:strCache>
            </c:strRef>
          </c:cat>
          <c:val>
            <c:numRef>
              <c:f>Total!$E$9:$E$10</c:f>
              <c:numCache>
                <c:formatCode>General</c:formatCode>
                <c:ptCount val="2"/>
                <c:pt idx="0">
                  <c:v>17.100000000000001</c:v>
                </c:pt>
                <c:pt idx="1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97-44A0-AAC5-2D249E93CA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4478272"/>
        <c:axId val="344479056"/>
      </c:barChart>
      <c:catAx>
        <c:axId val="34447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44479056"/>
        <c:crossesAt val="0"/>
        <c:auto val="1"/>
        <c:lblAlgn val="ctr"/>
        <c:lblOffset val="100"/>
        <c:noMultiLvlLbl val="0"/>
      </c:catAx>
      <c:valAx>
        <c:axId val="3444790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Porcentagem (%)</a:t>
                </a:r>
              </a:p>
            </c:rich>
          </c:tx>
          <c:layout>
            <c:manualLayout>
              <c:xMode val="edge"/>
              <c:yMode val="edge"/>
              <c:x val="2.2222247942952449E-2"/>
              <c:y val="0.265551745392355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4447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24853823965076"/>
          <c:y val="3.5841296536962004E-2"/>
          <c:w val="0.79534662127630085"/>
          <c:h val="0.606666666666666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'Mortalidade em cdap'!$A$2</c:f>
              <c:strCache>
                <c:ptCount val="1"/>
                <c:pt idx="0">
                  <c:v>nº de árvores mortas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'Mortalidade em cdap'!$B$1:$L$1</c:f>
              <c:strCache>
                <c:ptCount val="11"/>
                <c:pt idx="0">
                  <c:v>10-19,9</c:v>
                </c:pt>
                <c:pt idx="1">
                  <c:v>20-29,9</c:v>
                </c:pt>
                <c:pt idx="2">
                  <c:v>30-39,9</c:v>
                </c:pt>
                <c:pt idx="3">
                  <c:v>40-49,9</c:v>
                </c:pt>
                <c:pt idx="4">
                  <c:v>50-59,9</c:v>
                </c:pt>
                <c:pt idx="5">
                  <c:v>60-69,9</c:v>
                </c:pt>
                <c:pt idx="6">
                  <c:v>70-79,9</c:v>
                </c:pt>
                <c:pt idx="7">
                  <c:v>80-89,9</c:v>
                </c:pt>
                <c:pt idx="8">
                  <c:v>90-99,9</c:v>
                </c:pt>
                <c:pt idx="9">
                  <c:v>100-109,9</c:v>
                </c:pt>
                <c:pt idx="10">
                  <c:v>&gt;110</c:v>
                </c:pt>
              </c:strCache>
            </c:strRef>
          </c:cat>
          <c:val>
            <c:numRef>
              <c:f>'Mortalidade em cdap'!$B$2:$L$2</c:f>
              <c:numCache>
                <c:formatCode>General</c:formatCode>
                <c:ptCount val="11"/>
                <c:pt idx="0">
                  <c:v>122</c:v>
                </c:pt>
                <c:pt idx="1">
                  <c:v>19</c:v>
                </c:pt>
                <c:pt idx="2">
                  <c:v>11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BB-4ECF-B2DF-364A215847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4481800"/>
        <c:axId val="344483760"/>
        <c:axId val="0"/>
      </c:bar3DChart>
      <c:catAx>
        <c:axId val="34448180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Classe Diamétrica</a:t>
                </a:r>
              </a:p>
            </c:rich>
          </c:tx>
          <c:layout>
            <c:manualLayout>
              <c:xMode val="edge"/>
              <c:yMode val="edge"/>
              <c:x val="0.40563206829779824"/>
              <c:y val="0.8524324371250726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344483760"/>
        <c:crosses val="autoZero"/>
        <c:auto val="1"/>
        <c:lblAlgn val="ctr"/>
        <c:lblOffset val="100"/>
        <c:noMultiLvlLbl val="0"/>
      </c:catAx>
      <c:valAx>
        <c:axId val="3444837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Nº de Indivíduos Mortos</a:t>
                </a:r>
              </a:p>
            </c:rich>
          </c:tx>
          <c:layout>
            <c:manualLayout>
              <c:xMode val="edge"/>
              <c:yMode val="edge"/>
              <c:x val="4.0446954273299994E-2"/>
              <c:y val="0.1162760089771387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34448180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2017-10-29T17:12:00Z</dcterms:created>
  <dcterms:modified xsi:type="dcterms:W3CDTF">2017-10-29T17:13:00Z</dcterms:modified>
</cp:coreProperties>
</file>