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64" w:rsidRDefault="00E4445B" w:rsidP="004D6B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TABELAS</w:t>
      </w:r>
    </w:p>
    <w:p w:rsidR="004A4564" w:rsidRPr="00282FE4" w:rsidRDefault="004A4564" w:rsidP="004A45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B46">
        <w:rPr>
          <w:rFonts w:ascii="Times New Roman" w:hAnsi="Times New Roman" w:cs="Times New Roman"/>
          <w:sz w:val="24"/>
          <w:szCs w:val="24"/>
        </w:rPr>
        <w:t>Tabela 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82FE4">
        <w:rPr>
          <w:rFonts w:ascii="Times New Roman" w:hAnsi="Times New Roman" w:cs="Times New Roman"/>
          <w:sz w:val="24"/>
          <w:szCs w:val="24"/>
        </w:rPr>
        <w:t xml:space="preserve"> Histórico dos sistemas agroflorestais.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770"/>
        <w:gridCol w:w="1556"/>
        <w:gridCol w:w="3194"/>
        <w:gridCol w:w="3200"/>
      </w:tblGrid>
      <w:tr w:rsidR="004A4564" w:rsidRPr="00064B46" w:rsidTr="006E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4564" w:rsidRPr="005C6A6E" w:rsidRDefault="004A4564" w:rsidP="006E1BA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2FE4">
              <w:rPr>
                <w:rFonts w:ascii="Times New Roman" w:hAnsi="Times New Roman" w:cs="Times New Roman"/>
                <w:sz w:val="24"/>
                <w:szCs w:val="24"/>
              </w:rPr>
              <w:t xml:space="preserve">SAFs </w:t>
            </w:r>
          </w:p>
        </w:tc>
        <w:tc>
          <w:tcPr>
            <w:tcW w:w="0" w:type="auto"/>
          </w:tcPr>
          <w:p w:rsidR="004A4564" w:rsidRPr="00064B46" w:rsidRDefault="004A4564" w:rsidP="006E1BA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de implantação</w:t>
            </w:r>
          </w:p>
        </w:tc>
        <w:tc>
          <w:tcPr>
            <w:tcW w:w="0" w:type="auto"/>
          </w:tcPr>
          <w:p w:rsidR="004A4564" w:rsidRPr="00064B46" w:rsidRDefault="004A4564" w:rsidP="006E1BA0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B46">
              <w:rPr>
                <w:rFonts w:ascii="Times New Roman" w:hAnsi="Times New Roman" w:cs="Times New Roman"/>
                <w:sz w:val="24"/>
                <w:szCs w:val="24"/>
              </w:rPr>
              <w:t>Espécies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arranjo </w:t>
            </w:r>
          </w:p>
        </w:tc>
        <w:tc>
          <w:tcPr>
            <w:tcW w:w="0" w:type="auto"/>
          </w:tcPr>
          <w:p w:rsidR="004A4564" w:rsidRPr="00064B46" w:rsidRDefault="004A4564" w:rsidP="006E1BA0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Informações gerais </w:t>
            </w:r>
          </w:p>
        </w:tc>
        <w:bookmarkStart w:id="0" w:name="_GoBack"/>
        <w:bookmarkEnd w:id="0"/>
      </w:tr>
      <w:tr w:rsidR="004A4564" w:rsidRPr="00B7012D" w:rsidTr="006E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SAF </w:t>
            </w:r>
            <w:proofErr w:type="gramStart"/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Pimenta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Piper nigrum)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mamão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Carica papaya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), café (</w:t>
            </w:r>
            <w:r w:rsidRPr="00B7012D">
              <w:rPr>
                <w:rStyle w:val="nfase"/>
                <w:rFonts w:ascii="Times New Roman" w:hAnsi="Times New Roman" w:cs="Times New Roman"/>
                <w:bCs/>
                <w:iCs w:val="0"/>
                <w:sz w:val="24"/>
                <w:szCs w:val="24"/>
              </w:rPr>
              <w:t>Coffea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arábica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 L.), mogno africano (</w:t>
            </w:r>
            <w:r w:rsidRPr="00B7012D">
              <w:rPr>
                <w:rStyle w:val="nfase"/>
                <w:rFonts w:ascii="Times New Roman" w:hAnsi="Times New Roman" w:cs="Times New Roman"/>
                <w:bCs/>
                <w:iCs w:val="0"/>
                <w:sz w:val="24"/>
                <w:szCs w:val="24"/>
              </w:rPr>
              <w:t>Khaya Ivorensis)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mogno brasileiro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Swietenia macrophylla)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 e teca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Tectona grandis)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Implantação da Pimenta e do mamão no ano de 2008.</w:t>
            </w:r>
          </w:p>
          <w:p w:rsidR="004A4564" w:rsidRPr="00B7012D" w:rsidRDefault="004A4564" w:rsidP="006E1BA0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Café ainda está inserido no sistema, mas está improdutivo.</w:t>
            </w:r>
          </w:p>
          <w:p w:rsidR="004A4564" w:rsidRPr="00B7012D" w:rsidRDefault="004A4564" w:rsidP="006E1BA0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A limpeza da área é feita de </w:t>
            </w:r>
            <w:proofErr w:type="gramStart"/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 em 3 meses através de roçagem mecanizada</w:t>
            </w:r>
          </w:p>
        </w:tc>
      </w:tr>
      <w:tr w:rsidR="004A4564" w:rsidRPr="00B7012D" w:rsidTr="006E1BA0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SAF </w:t>
            </w:r>
            <w:proofErr w:type="gramStart"/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proofErr w:type="gramEnd"/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Teca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Tectona grandis)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graviola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Annona muricata</w:t>
            </w:r>
            <w:r w:rsidRPr="00B70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limão (</w:t>
            </w:r>
            <w:r w:rsidRPr="00B7012D">
              <w:rPr>
                <w:rStyle w:val="nfase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</w:rPr>
              <w:t>Citrus limon</w:t>
            </w:r>
            <w:r w:rsidRPr="00B7012D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, laranja 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Citrus sinensis </w:t>
            </w:r>
            <w:r w:rsidRPr="00B70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.) 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e pocã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Citrus reticulata</w:t>
            </w:r>
            <w:r w:rsidRPr="00B70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Ocorre doença na graviola (broca no fruto).</w:t>
            </w:r>
          </w:p>
          <w:p w:rsidR="004A4564" w:rsidRPr="00B7012D" w:rsidRDefault="004A4564" w:rsidP="006E1BA0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Aplicação de a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dubação orgânica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(esterco animal) no cultivo de limão. </w:t>
            </w:r>
          </w:p>
        </w:tc>
      </w:tr>
      <w:tr w:rsidR="004A4564" w:rsidRPr="00B7012D" w:rsidTr="006E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SAF </w:t>
            </w:r>
            <w:proofErr w:type="gramStart"/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Urucum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Bixa orellana)</w:t>
            </w:r>
            <w:proofErr w:type="gramStart"/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teca</w:t>
            </w:r>
            <w:proofErr w:type="gramEnd"/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Tectona grandis)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mogno africano (</w:t>
            </w:r>
            <w:r w:rsidRPr="00B7012D">
              <w:rPr>
                <w:rStyle w:val="nfase"/>
                <w:rFonts w:ascii="Times New Roman" w:hAnsi="Times New Roman" w:cs="Times New Roman"/>
                <w:bCs/>
                <w:iCs w:val="0"/>
                <w:sz w:val="24"/>
                <w:szCs w:val="24"/>
              </w:rPr>
              <w:t>Khaya Ivorensis)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pupunha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Bactris gasipaes)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 e laranja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Citrus sinensis 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L.)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Laranja e pupunha ainda estão em produção, sendo a pupunha comercializada na região. O mogno africano produziu sementes depois de 10 anos de plantio. É feito poda e roçagem na área.</w:t>
            </w:r>
          </w:p>
          <w:p w:rsidR="004A4564" w:rsidRPr="00B7012D" w:rsidRDefault="004A4564" w:rsidP="006E1BA0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Aplicação de a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dubação orgânica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(esterco animal) no cultivo da laranja e urucum. </w:t>
            </w:r>
          </w:p>
        </w:tc>
      </w:tr>
      <w:tr w:rsidR="004A4564" w:rsidRPr="00B7012D" w:rsidTr="006E1BA0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SAF </w:t>
            </w:r>
            <w:proofErr w:type="gramStart"/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proofErr w:type="gramEnd"/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Mogno africano (</w:t>
            </w:r>
            <w:r w:rsidRPr="00B7012D">
              <w:rPr>
                <w:rStyle w:val="nfase"/>
                <w:rFonts w:ascii="Times New Roman" w:hAnsi="Times New Roman" w:cs="Times New Roman"/>
                <w:bCs/>
                <w:iCs w:val="0"/>
                <w:sz w:val="24"/>
                <w:szCs w:val="24"/>
              </w:rPr>
              <w:t>Khaya Ivorensis)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mogno brasileiro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Swietenia macrophylla)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teca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Tectona grandis)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manga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Mangifera indica</w:t>
            </w:r>
            <w:r w:rsidRPr="00B70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 e pupunha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Bactris gasipaes)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A manga e a pupunha </w:t>
            </w:r>
            <w:proofErr w:type="gramStart"/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encontram-se</w:t>
            </w:r>
            <w:proofErr w:type="gramEnd"/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 em produção.</w:t>
            </w:r>
          </w:p>
          <w:p w:rsidR="004A4564" w:rsidRPr="00B7012D" w:rsidRDefault="004A4564" w:rsidP="006E1BA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Para aumentar a produção da manga é feita poda (abertura) no meio da arvore. </w:t>
            </w:r>
          </w:p>
        </w:tc>
      </w:tr>
      <w:tr w:rsidR="004A4564" w:rsidRPr="00B7012D" w:rsidTr="006E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SAF </w:t>
            </w:r>
            <w:proofErr w:type="gramStart"/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proofErr w:type="gramEnd"/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Mogno africano (</w:t>
            </w:r>
            <w:r w:rsidRPr="00B7012D">
              <w:rPr>
                <w:rStyle w:val="nfase"/>
                <w:rFonts w:ascii="Times New Roman" w:hAnsi="Times New Roman" w:cs="Times New Roman"/>
                <w:bCs/>
                <w:iCs w:val="0"/>
                <w:sz w:val="24"/>
                <w:szCs w:val="24"/>
              </w:rPr>
              <w:t>Khaya Ivorensis)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cumaru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(Dipteryx odorata)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bacuri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Platonia insignis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) e pupunha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Bactris gasipaes)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Área com histórico de pecuária e plantação de pimenta.</w:t>
            </w:r>
          </w:p>
        </w:tc>
      </w:tr>
      <w:tr w:rsidR="004A4564" w:rsidRPr="00B7012D" w:rsidTr="006E1BA0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SAF </w:t>
            </w:r>
            <w:proofErr w:type="gramStart"/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proofErr w:type="gramEnd"/>
            <w:r w:rsidRPr="00B70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Seringa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Hevea brasiliensis)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, cupuaçu 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Theobroma grandiflorum)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, mogno brasileiro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Swietenia macrophylla)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 e teca (</w:t>
            </w:r>
            <w:r w:rsidRPr="00B7012D">
              <w:rPr>
                <w:rFonts w:ascii="Times New Roman" w:hAnsi="Times New Roman" w:cs="Times New Roman"/>
                <w:i/>
                <w:sz w:val="24"/>
                <w:szCs w:val="24"/>
              </w:rPr>
              <w:t>Tectona grandis)</w:t>
            </w: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4564" w:rsidRPr="00B7012D" w:rsidRDefault="004A4564" w:rsidP="006E1BA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É realizada a poda nas árvores de cupuaçu para retirar a vassoura-de-bruxa. </w:t>
            </w:r>
          </w:p>
          <w:p w:rsidR="004A4564" w:rsidRPr="00B7012D" w:rsidRDefault="004A4564" w:rsidP="006E1BA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D">
              <w:rPr>
                <w:rFonts w:ascii="Times New Roman" w:hAnsi="Times New Roman" w:cs="Times New Roman"/>
                <w:sz w:val="24"/>
                <w:szCs w:val="24"/>
              </w:rPr>
              <w:t xml:space="preserve">Até o ano 2016 era extraído o látex da seringueira. </w:t>
            </w:r>
          </w:p>
        </w:tc>
      </w:tr>
    </w:tbl>
    <w:p w:rsidR="00AF11EE" w:rsidRDefault="00AF11EE"/>
    <w:p w:rsidR="004A4564" w:rsidRPr="00CC5F54" w:rsidRDefault="004A4564" w:rsidP="004A4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5F54">
        <w:rPr>
          <w:rFonts w:ascii="Times New Roman" w:hAnsi="Times New Roman" w:cs="Times New Roman"/>
          <w:sz w:val="24"/>
          <w:szCs w:val="24"/>
        </w:rPr>
        <w:t xml:space="preserve">Tabela 2. </w:t>
      </w:r>
      <w:r>
        <w:rPr>
          <w:rFonts w:ascii="Times New Roman" w:hAnsi="Times New Roman" w:cs="Times New Roman"/>
          <w:sz w:val="24"/>
          <w:szCs w:val="24"/>
        </w:rPr>
        <w:t xml:space="preserve">Densidade do solo e umidade gravimétrica na profundidade de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 em sistemas agroflorestais no município de Monte Alegre, Pará. </w:t>
      </w:r>
    </w:p>
    <w:tbl>
      <w:tblPr>
        <w:tblStyle w:val="SombreamentoClaro"/>
        <w:tblW w:w="6805" w:type="dxa"/>
        <w:jc w:val="center"/>
        <w:tblLook w:val="0000" w:firstRow="0" w:lastRow="0" w:firstColumn="0" w:lastColumn="0" w:noHBand="0" w:noVBand="0"/>
      </w:tblPr>
      <w:tblGrid>
        <w:gridCol w:w="2268"/>
        <w:gridCol w:w="2268"/>
        <w:gridCol w:w="2269"/>
      </w:tblGrid>
      <w:tr w:rsidR="004A4564" w:rsidRPr="00064B46" w:rsidTr="006E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Densidade</w:t>
            </w:r>
            <w:r>
              <w:rPr>
                <w:rFonts w:ascii="Times New Roman" w:hAnsi="Times New Roman" w:cs="Times New Roman"/>
              </w:rPr>
              <w:t xml:space="preserve"> (g/cm</w:t>
            </w:r>
            <w:r w:rsidRPr="00741FA5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Umidad</w:t>
            </w:r>
            <w:r>
              <w:rPr>
                <w:rFonts w:ascii="Times New Roman" w:hAnsi="Times New Roman" w:cs="Times New Roman"/>
              </w:rPr>
              <w:t>e (%)</w:t>
            </w:r>
          </w:p>
        </w:tc>
      </w:tr>
      <w:tr w:rsidR="004A4564" w:rsidRPr="00064B46" w:rsidTr="006E1BA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 xml:space="preserve">SAF </w:t>
            </w:r>
            <w:proofErr w:type="gramStart"/>
            <w:r w:rsidRPr="00064B4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1,1 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11,1 ab</w:t>
            </w:r>
          </w:p>
        </w:tc>
      </w:tr>
      <w:tr w:rsidR="004A4564" w:rsidRPr="00064B46" w:rsidTr="006E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 xml:space="preserve">SAF </w:t>
            </w:r>
            <w:proofErr w:type="gramStart"/>
            <w:r w:rsidRPr="00064B46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2268" w:type="dxa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0,7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16,4 a</w:t>
            </w:r>
          </w:p>
        </w:tc>
      </w:tr>
      <w:tr w:rsidR="004A4564" w:rsidRPr="00064B46" w:rsidTr="006E1BA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 xml:space="preserve">SAF </w:t>
            </w:r>
            <w:proofErr w:type="gramStart"/>
            <w:r w:rsidRPr="00064B4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1,2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6,8 b</w:t>
            </w:r>
          </w:p>
        </w:tc>
      </w:tr>
      <w:tr w:rsidR="004A4564" w:rsidRPr="00064B46" w:rsidTr="006E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 xml:space="preserve">SAF </w:t>
            </w:r>
            <w:proofErr w:type="gramStart"/>
            <w:r w:rsidRPr="00064B46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2268" w:type="dxa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1,1 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8,3 b</w:t>
            </w:r>
          </w:p>
        </w:tc>
      </w:tr>
      <w:tr w:rsidR="004A4564" w:rsidRPr="00064B46" w:rsidTr="006E1BA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 xml:space="preserve">SAF </w:t>
            </w:r>
            <w:proofErr w:type="gramStart"/>
            <w:r w:rsidRPr="00064B4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1,1 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10,8 ab</w:t>
            </w:r>
          </w:p>
        </w:tc>
      </w:tr>
      <w:tr w:rsidR="004A4564" w:rsidRPr="00064B46" w:rsidTr="006E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 xml:space="preserve">SAF </w:t>
            </w:r>
            <w:proofErr w:type="gramStart"/>
            <w:r w:rsidRPr="00064B4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268" w:type="dxa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1,1 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4A4564" w:rsidRPr="00064B46" w:rsidRDefault="004A4564" w:rsidP="006E1BA0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B46">
              <w:rPr>
                <w:rFonts w:ascii="Times New Roman" w:hAnsi="Times New Roman" w:cs="Times New Roman"/>
              </w:rPr>
              <w:t>10,8 ab</w:t>
            </w:r>
          </w:p>
        </w:tc>
      </w:tr>
    </w:tbl>
    <w:p w:rsidR="004A4564" w:rsidRPr="00EF1C05" w:rsidRDefault="004A4564" w:rsidP="004A4564">
      <w:pPr>
        <w:jc w:val="both"/>
        <w:rPr>
          <w:rFonts w:ascii="Times New Roman" w:hAnsi="Times New Roman" w:cs="Times New Roman"/>
          <w:sz w:val="24"/>
          <w:szCs w:val="24"/>
        </w:rPr>
      </w:pPr>
      <w:r w:rsidRPr="00EF1C05">
        <w:rPr>
          <w:rFonts w:ascii="Times New Roman" w:hAnsi="Times New Roman" w:cs="Times New Roman"/>
          <w:sz w:val="24"/>
          <w:szCs w:val="24"/>
        </w:rPr>
        <w:t>*Valores seguidos da mesma letra para a coluna (Densidade e Umidade) não possuem diferença significativa ao nível de 5% de probabilidade no teste Kruskal Wallis e Tukey, respectivamente.</w:t>
      </w:r>
    </w:p>
    <w:p w:rsidR="004A4564" w:rsidRDefault="004A4564"/>
    <w:sectPr w:rsidR="004A4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64"/>
    <w:rsid w:val="004A4564"/>
    <w:rsid w:val="004D6B54"/>
    <w:rsid w:val="00AF11EE"/>
    <w:rsid w:val="00E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A4564"/>
    <w:rPr>
      <w:i/>
      <w:iCs/>
    </w:rPr>
  </w:style>
  <w:style w:type="table" w:styleId="SombreamentoClaro">
    <w:name w:val="Light Shading"/>
    <w:basedOn w:val="Tabelanormal"/>
    <w:uiPriority w:val="60"/>
    <w:rsid w:val="004A45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edodatabela">
    <w:name w:val="Conteúdo da tabela"/>
    <w:basedOn w:val="Normal"/>
    <w:qFormat/>
    <w:rsid w:val="004A4564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A4564"/>
    <w:rPr>
      <w:i/>
      <w:iCs/>
    </w:rPr>
  </w:style>
  <w:style w:type="table" w:styleId="SombreamentoClaro">
    <w:name w:val="Light Shading"/>
    <w:basedOn w:val="Tabelanormal"/>
    <w:uiPriority w:val="60"/>
    <w:rsid w:val="004A45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edodatabela">
    <w:name w:val="Conteúdo da tabela"/>
    <w:basedOn w:val="Normal"/>
    <w:qFormat/>
    <w:rsid w:val="004A4564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Raylana Avinte</dc:creator>
  <cp:lastModifiedBy>Raylana Avinte</cp:lastModifiedBy>
  <cp:revision>2</cp:revision>
  <dcterms:created xsi:type="dcterms:W3CDTF">2017-10-29T23:10:00Z</dcterms:created>
  <dcterms:modified xsi:type="dcterms:W3CDTF">2017-10-29T23:41:00Z</dcterms:modified>
</cp:coreProperties>
</file>