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C6" w:rsidRPr="00C11490" w:rsidRDefault="00366BC6" w:rsidP="00366BC6">
      <w:pPr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Figura 1. Flutuação popula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cional de </w:t>
      </w:r>
      <w:r>
        <w:rPr>
          <w:rFonts w:ascii="Times New Roman" w:hAnsi="Times New Roman"/>
          <w:i/>
          <w:sz w:val="20"/>
        </w:rPr>
        <w:t xml:space="preserve">P. </w:t>
      </w:r>
      <w:proofErr w:type="spellStart"/>
      <w:r>
        <w:rPr>
          <w:rFonts w:ascii="Times New Roman" w:hAnsi="Times New Roman"/>
          <w:i/>
          <w:sz w:val="20"/>
        </w:rPr>
        <w:t>corniculata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coletados com armadilha luminosa em pomar de agosto de 2007 a dezembro de 2008 no sítio Vista Alegre, Altamira-PA, Brasil. </w:t>
      </w:r>
    </w:p>
    <w:p w:rsidR="00B3237F" w:rsidRDefault="00366BC6">
      <w:r>
        <w:rPr>
          <w:noProof/>
          <w:lang w:eastAsia="pt-BR"/>
        </w:rPr>
        <w:drawing>
          <wp:inline distT="0" distB="0" distL="0" distR="0" wp14:anchorId="56DE1707" wp14:editId="212657F0">
            <wp:extent cx="5400000" cy="30960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2F301C5-9ADB-4A39-93A5-2793E252C0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6BC6" w:rsidRPr="00366BC6" w:rsidRDefault="00366BC6" w:rsidP="00366BC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Figura 2.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Plesiommata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corniculata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(YOUNG, 1977) em vista lateral. </w:t>
      </w:r>
    </w:p>
    <w:p w:rsidR="00366BC6" w:rsidRDefault="00366BC6"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4867275" cy="3286125"/>
            <wp:effectExtent l="0" t="0" r="9525" b="9525"/>
            <wp:docPr id="2" name="Imagem 2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C6"/>
    <w:rsid w:val="00366BC6"/>
    <w:rsid w:val="00B3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Artigo%20Plesiommata%20corniculata\PIBI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63335184936099"/>
          <c:y val="5.4593175853018351E-2"/>
          <c:w val="0.81188151095112815"/>
          <c:h val="0.75982585262895541"/>
        </c:manualLayout>
      </c:layout>
      <c:lineChart>
        <c:grouping val="standard"/>
        <c:varyColors val="0"/>
        <c:ser>
          <c:idx val="3"/>
          <c:order val="0"/>
          <c:tx>
            <c:strRef>
              <c:f>P.c.!$F$1</c:f>
              <c:strCache>
                <c:ptCount val="1"/>
                <c:pt idx="0">
                  <c:v>Plesiommata corniculata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none"/>
          </c:marker>
          <c:cat>
            <c:strRef>
              <c:f>Planilha2!$A$2:$A$18</c:f>
              <c:strCache>
                <c:ptCount val="17"/>
                <c:pt idx="0">
                  <c:v>A</c:v>
                </c:pt>
                <c:pt idx="1">
                  <c:v>S</c:v>
                </c:pt>
                <c:pt idx="2">
                  <c:v>O</c:v>
                </c:pt>
                <c:pt idx="3">
                  <c:v>N</c:v>
                </c:pt>
                <c:pt idx="4">
                  <c:v>D</c:v>
                </c:pt>
                <c:pt idx="5">
                  <c:v>J</c:v>
                </c:pt>
                <c:pt idx="6">
                  <c:v>F</c:v>
                </c:pt>
                <c:pt idx="7">
                  <c:v>M</c:v>
                </c:pt>
                <c:pt idx="8">
                  <c:v>A</c:v>
                </c:pt>
                <c:pt idx="9">
                  <c:v>M</c:v>
                </c:pt>
                <c:pt idx="10">
                  <c:v>J</c:v>
                </c:pt>
                <c:pt idx="11">
                  <c:v>J</c:v>
                </c:pt>
                <c:pt idx="12">
                  <c:v>A</c:v>
                </c:pt>
                <c:pt idx="13">
                  <c:v>S</c:v>
                </c:pt>
                <c:pt idx="14">
                  <c:v>O</c:v>
                </c:pt>
                <c:pt idx="15">
                  <c:v>N</c:v>
                </c:pt>
                <c:pt idx="16">
                  <c:v>D</c:v>
                </c:pt>
              </c:strCache>
            </c:strRef>
          </c:cat>
          <c:val>
            <c:numRef>
              <c:f>P.c.!$F$2:$F$18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22</c:v>
                </c:pt>
                <c:pt idx="7">
                  <c:v>0</c:v>
                </c:pt>
                <c:pt idx="8">
                  <c:v>8</c:v>
                </c:pt>
                <c:pt idx="9">
                  <c:v>12</c:v>
                </c:pt>
                <c:pt idx="10">
                  <c:v>13</c:v>
                </c:pt>
                <c:pt idx="11">
                  <c:v>373</c:v>
                </c:pt>
                <c:pt idx="12">
                  <c:v>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A0B-40B8-9767-0A7F711F5D0D}"/>
            </c:ext>
          </c:extLst>
        </c:ser>
        <c:ser>
          <c:idx val="4"/>
          <c:order val="1"/>
          <c:tx>
            <c:strRef>
              <c:f>P.c.!$H$1</c:f>
              <c:strCache>
                <c:ptCount val="1"/>
                <c:pt idx="0">
                  <c:v>Total Geral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none"/>
          </c:marker>
          <c:val>
            <c:numRef>
              <c:f>P.c.!$G$2:$G$18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22</c:v>
                </c:pt>
                <c:pt idx="7">
                  <c:v>0</c:v>
                </c:pt>
                <c:pt idx="8">
                  <c:v>17</c:v>
                </c:pt>
                <c:pt idx="9">
                  <c:v>13</c:v>
                </c:pt>
                <c:pt idx="10">
                  <c:v>14</c:v>
                </c:pt>
                <c:pt idx="11">
                  <c:v>411</c:v>
                </c:pt>
                <c:pt idx="12">
                  <c:v>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A0B-40B8-9767-0A7F711F5D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50369152"/>
        <c:axId val="250370688"/>
      </c:lineChart>
      <c:catAx>
        <c:axId val="25036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250370688"/>
        <c:crosses val="autoZero"/>
        <c:auto val="1"/>
        <c:lblAlgn val="ctr"/>
        <c:lblOffset val="100"/>
        <c:noMultiLvlLbl val="0"/>
      </c:catAx>
      <c:valAx>
        <c:axId val="2503706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t-BR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Número de indivíduos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2503691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6581962061168026"/>
          <c:y val="0.89561157970980632"/>
          <c:w val="0.62684960357058339"/>
          <c:h val="7.1544662258463981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0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Livia</cp:lastModifiedBy>
  <cp:revision>1</cp:revision>
  <dcterms:created xsi:type="dcterms:W3CDTF">2017-10-29T22:41:00Z</dcterms:created>
  <dcterms:modified xsi:type="dcterms:W3CDTF">2017-10-29T22:42:00Z</dcterms:modified>
</cp:coreProperties>
</file>